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A024" w14:textId="4075EA65" w:rsidR="00452DAB" w:rsidRDefault="00593D0C" w:rsidP="00452DAB">
      <w:pPr>
        <w:ind w:left="1428"/>
        <w:jc w:val="both"/>
        <w:rPr>
          <w:b/>
          <w:color w:val="1F497D"/>
          <w:sz w:val="24"/>
        </w:rPr>
      </w:pPr>
      <w:r>
        <w:rPr>
          <w:b/>
          <w:noProof/>
          <w:lang w:val="es-GT" w:eastAsia="es-GT"/>
        </w:rPr>
        <w:drawing>
          <wp:anchor distT="0" distB="0" distL="114300" distR="114300" simplePos="0" relativeHeight="251661312" behindDoc="0" locked="0" layoutInCell="1" allowOverlap="1" wp14:anchorId="06ADEAC1" wp14:editId="3FAE9B55">
            <wp:simplePos x="0" y="0"/>
            <wp:positionH relativeFrom="column">
              <wp:posOffset>-723900</wp:posOffset>
            </wp:positionH>
            <wp:positionV relativeFrom="page">
              <wp:posOffset>252095</wp:posOffset>
            </wp:positionV>
            <wp:extent cx="2486025" cy="11620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1DDEB" w14:textId="3F2B3978" w:rsidR="00593D0C" w:rsidRDefault="00593D0C" w:rsidP="00452DAB">
      <w:pPr>
        <w:ind w:left="1428"/>
        <w:jc w:val="both"/>
        <w:rPr>
          <w:b/>
          <w:color w:val="1F497D"/>
          <w:sz w:val="24"/>
        </w:rPr>
      </w:pPr>
    </w:p>
    <w:p w14:paraId="784873CD" w14:textId="0E8F7D0E" w:rsidR="00593D0C" w:rsidRDefault="00593D0C" w:rsidP="00452DAB">
      <w:pPr>
        <w:ind w:left="1428"/>
        <w:jc w:val="both"/>
        <w:rPr>
          <w:b/>
          <w:color w:val="1F497D"/>
          <w:sz w:val="24"/>
        </w:rPr>
      </w:pPr>
    </w:p>
    <w:p w14:paraId="31BD460C" w14:textId="45350A88" w:rsidR="00593D0C" w:rsidRDefault="00593D0C" w:rsidP="00452DAB">
      <w:pPr>
        <w:ind w:left="1428"/>
        <w:jc w:val="both"/>
        <w:rPr>
          <w:b/>
          <w:color w:val="1F497D"/>
          <w:sz w:val="24"/>
        </w:rPr>
      </w:pPr>
    </w:p>
    <w:p w14:paraId="1EE1EAE2" w14:textId="5BFCB405" w:rsidR="00593D0C" w:rsidRDefault="00593D0C" w:rsidP="00452DAB">
      <w:pPr>
        <w:ind w:left="1428"/>
        <w:jc w:val="both"/>
        <w:rPr>
          <w:b/>
          <w:color w:val="1F497D"/>
          <w:sz w:val="24"/>
        </w:rPr>
      </w:pPr>
    </w:p>
    <w:p w14:paraId="08930E71" w14:textId="0C9DCABD" w:rsidR="00593D0C" w:rsidRDefault="00593D0C" w:rsidP="00452DAB">
      <w:pPr>
        <w:ind w:left="1428"/>
        <w:jc w:val="both"/>
        <w:rPr>
          <w:b/>
          <w:color w:val="1F497D"/>
          <w:sz w:val="24"/>
        </w:rPr>
      </w:pPr>
    </w:p>
    <w:p w14:paraId="1C77654B" w14:textId="2B759D4D" w:rsidR="00593D0C" w:rsidRDefault="00593D0C" w:rsidP="00452DAB">
      <w:pPr>
        <w:ind w:left="1428"/>
        <w:jc w:val="both"/>
        <w:rPr>
          <w:b/>
          <w:color w:val="1F497D"/>
          <w:sz w:val="24"/>
        </w:rPr>
      </w:pPr>
    </w:p>
    <w:p w14:paraId="5A206F82" w14:textId="2962B495" w:rsidR="00593D0C" w:rsidRDefault="00593D0C" w:rsidP="00452DAB">
      <w:pPr>
        <w:ind w:left="1428"/>
        <w:jc w:val="both"/>
        <w:rPr>
          <w:b/>
          <w:color w:val="1F497D"/>
          <w:sz w:val="24"/>
        </w:rPr>
      </w:pPr>
    </w:p>
    <w:p w14:paraId="4AB67040" w14:textId="53FD22F6" w:rsidR="00593D0C" w:rsidRDefault="00593D0C" w:rsidP="00452DAB">
      <w:pPr>
        <w:ind w:left="1428"/>
        <w:jc w:val="both"/>
        <w:rPr>
          <w:b/>
          <w:color w:val="1F497D"/>
          <w:sz w:val="24"/>
        </w:rPr>
      </w:pPr>
    </w:p>
    <w:p w14:paraId="31331DCC" w14:textId="77777777" w:rsidR="00593D0C" w:rsidRPr="00622D1D" w:rsidRDefault="00593D0C" w:rsidP="00452DAB">
      <w:pPr>
        <w:ind w:left="1428"/>
        <w:jc w:val="both"/>
        <w:rPr>
          <w:b/>
          <w:color w:val="1F497D"/>
          <w:sz w:val="24"/>
        </w:rPr>
      </w:pPr>
    </w:p>
    <w:p w14:paraId="0BBF7088" w14:textId="77777777" w:rsidR="00452DAB" w:rsidRDefault="00452DAB" w:rsidP="00452DAB">
      <w:pPr>
        <w:rPr>
          <w:b/>
          <w:color w:val="1F497D"/>
          <w:sz w:val="24"/>
        </w:rPr>
      </w:pPr>
      <w:r w:rsidRPr="006639B3">
        <w:rPr>
          <w:b/>
          <w:color w:val="1F497D"/>
          <w:sz w:val="24"/>
        </w:rPr>
        <w:tab/>
      </w:r>
      <w:r>
        <w:rPr>
          <w:b/>
          <w:color w:val="1F497D"/>
          <w:sz w:val="24"/>
        </w:rPr>
        <w:t>4.1.</w:t>
      </w:r>
      <w:r>
        <w:rPr>
          <w:b/>
          <w:color w:val="1F497D"/>
          <w:sz w:val="24"/>
        </w:rPr>
        <w:tab/>
        <w:t>VISION DE LA GOBERNACION DE CHIMALTENANGO.</w:t>
      </w:r>
    </w:p>
    <w:p w14:paraId="4A4CBC1D" w14:textId="77777777" w:rsidR="00452DAB" w:rsidRPr="006639B3" w:rsidRDefault="00452DAB" w:rsidP="00452DAB">
      <w:pPr>
        <w:rPr>
          <w:b/>
          <w:color w:val="1F497D"/>
          <w:sz w:val="24"/>
        </w:rPr>
      </w:pPr>
    </w:p>
    <w:p w14:paraId="7CD992E7" w14:textId="77777777" w:rsidR="00452DAB" w:rsidRDefault="00452DAB" w:rsidP="00452DAB">
      <w:pPr>
        <w:pStyle w:val="Textoindependiente3"/>
        <w:spacing w:line="0" w:lineRule="atLeast"/>
        <w:ind w:left="654"/>
        <w:jc w:val="both"/>
        <w:rPr>
          <w:snapToGrid w:val="0"/>
          <w:sz w:val="22"/>
          <w:szCs w:val="22"/>
        </w:rPr>
      </w:pPr>
      <w:r>
        <w:rPr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8E404A" wp14:editId="1845135A">
                <wp:simplePos x="0" y="0"/>
                <wp:positionH relativeFrom="column">
                  <wp:posOffset>-257175</wp:posOffset>
                </wp:positionH>
                <wp:positionV relativeFrom="paragraph">
                  <wp:posOffset>635</wp:posOffset>
                </wp:positionV>
                <wp:extent cx="0" cy="1920240"/>
                <wp:effectExtent l="381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AC0E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.05pt" to="-20.2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" o:allowincell="f" stroked="f" strokeweight="4.5pt">
                <v:stroke linestyle="thinThick"/>
              </v:line>
            </w:pict>
          </mc:Fallback>
        </mc:AlternateContent>
      </w:r>
      <w:r w:rsidRPr="00FA1A04">
        <w:rPr>
          <w:snapToGrid w:val="0"/>
          <w:sz w:val="22"/>
          <w:szCs w:val="22"/>
        </w:rPr>
        <w:t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</w:t>
      </w:r>
      <w:r w:rsidRPr="00FA1A04">
        <w:rPr>
          <w:b/>
          <w:snapToGrid w:val="0"/>
          <w:sz w:val="22"/>
          <w:szCs w:val="22"/>
        </w:rPr>
        <w:t xml:space="preserve"> </w:t>
      </w:r>
      <w:r w:rsidRPr="00FA1A04">
        <w:rPr>
          <w:snapToGrid w:val="0"/>
          <w:sz w:val="22"/>
          <w:szCs w:val="22"/>
        </w:rPr>
        <w:t>de las demandas estructuradas y no estructuradas de la población.</w:t>
      </w:r>
    </w:p>
    <w:p w14:paraId="41E5971D" w14:textId="77777777" w:rsidR="00452DAB" w:rsidRPr="00FA1A04" w:rsidRDefault="00452DAB" w:rsidP="00452DAB">
      <w:pPr>
        <w:pStyle w:val="Textoindependiente3"/>
        <w:spacing w:line="0" w:lineRule="atLeast"/>
        <w:ind w:left="654"/>
        <w:jc w:val="both"/>
        <w:rPr>
          <w:snapToGrid w:val="0"/>
          <w:sz w:val="22"/>
          <w:szCs w:val="22"/>
        </w:rPr>
      </w:pPr>
    </w:p>
    <w:p w14:paraId="1FE2FC4B" w14:textId="77777777" w:rsidR="00452DAB" w:rsidRPr="00FA1A04" w:rsidRDefault="00452DAB" w:rsidP="00452DAB">
      <w:pPr>
        <w:ind w:left="708"/>
        <w:rPr>
          <w:snapToGrid w:val="0"/>
          <w:sz w:val="22"/>
          <w:szCs w:val="22"/>
        </w:rPr>
      </w:pPr>
    </w:p>
    <w:p w14:paraId="61F58B08" w14:textId="77777777" w:rsidR="00452DAB" w:rsidRDefault="00452DAB" w:rsidP="00452DAB">
      <w:pPr>
        <w:ind w:left="708"/>
        <w:rPr>
          <w:b/>
          <w:color w:val="1F497D"/>
          <w:sz w:val="24"/>
        </w:rPr>
      </w:pPr>
      <w:r>
        <w:rPr>
          <w:b/>
          <w:color w:val="1F497D"/>
          <w:sz w:val="24"/>
        </w:rPr>
        <w:t xml:space="preserve">4.2. </w:t>
      </w:r>
      <w:r>
        <w:rPr>
          <w:b/>
          <w:color w:val="1F497D"/>
          <w:sz w:val="24"/>
        </w:rPr>
        <w:tab/>
        <w:t>MISION DE LA GOBERNACION DE CHIMALTENANGO.</w:t>
      </w:r>
    </w:p>
    <w:p w14:paraId="23E39E2E" w14:textId="77777777" w:rsidR="00452DAB" w:rsidRPr="006639B3" w:rsidRDefault="00452DAB" w:rsidP="00452DAB">
      <w:pPr>
        <w:ind w:left="708"/>
        <w:rPr>
          <w:b/>
          <w:color w:val="1F497D"/>
          <w:sz w:val="24"/>
        </w:rPr>
      </w:pPr>
    </w:p>
    <w:p w14:paraId="6E38103E" w14:textId="77777777" w:rsidR="00452DAB" w:rsidRDefault="00452DAB" w:rsidP="00452DAB">
      <w:pPr>
        <w:ind w:left="708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Gobernaci￳n Departamental"/>
        </w:smartTagPr>
        <w:r w:rsidRPr="00FA1A04">
          <w:rPr>
            <w:snapToGrid w:val="0"/>
            <w:sz w:val="22"/>
            <w:szCs w:val="22"/>
          </w:rPr>
          <w:t>La Gobernación Departamental</w:t>
        </w:r>
      </w:smartTag>
      <w:r w:rsidRPr="00FA1A04">
        <w:rPr>
          <w:snapToGrid w:val="0"/>
          <w:sz w:val="22"/>
          <w:szCs w:val="22"/>
        </w:rPr>
        <w:t xml:space="preserve"> de Chimaltenango,  es </w:t>
      </w:r>
      <w:smartTag w:uri="urn:schemas-microsoft-com:office:smarttags" w:element="PersonName">
        <w:smartTagPr>
          <w:attr w:name="ProductID" w:val="la Instituci￳n"/>
        </w:smartTagPr>
        <w:r w:rsidRPr="00FA1A04">
          <w:rPr>
            <w:snapToGrid w:val="0"/>
            <w:sz w:val="22"/>
            <w:szCs w:val="22"/>
          </w:rPr>
          <w:t>la Institución</w:t>
        </w:r>
      </w:smartTag>
      <w:r w:rsidRPr="00FA1A04">
        <w:rPr>
          <w:snapToGrid w:val="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esidencia"/>
        </w:smartTagPr>
        <w:r w:rsidRPr="00FA1A04">
          <w:rPr>
            <w:snapToGrid w:val="0"/>
            <w:sz w:val="22"/>
            <w:szCs w:val="22"/>
          </w:rPr>
          <w:t>la Presidencia</w:t>
        </w:r>
      </w:smartTag>
      <w:r w:rsidRPr="00FA1A04">
        <w:rPr>
          <w:snapToGrid w:val="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 w:rsidRPr="00FA1A04">
          <w:rPr>
            <w:snapToGrid w:val="0"/>
            <w:sz w:val="22"/>
            <w:szCs w:val="22"/>
          </w:rPr>
          <w:t>la República</w:t>
        </w:r>
      </w:smartTag>
      <w:r w:rsidRPr="00FA1A04">
        <w:rPr>
          <w:snapToGrid w:val="0"/>
          <w:sz w:val="22"/>
          <w:szCs w:val="22"/>
        </w:rPr>
        <w:t xml:space="preserve"> y del Ministerio de Gobernación responsable de coordinar la acción de las instituciones del Sector Público que operan dentro de su jurisdicción del mismo, velando porque los servicios públicos sean entregados a la población con calidad y oportunidad; promotora del desarrollo del departamento; así como, armonizadora de la relación entre el gobierno central (Organismo Ejecutivo) y el municipal, sin perjuicio de la autonomía de este último.</w:t>
      </w:r>
      <w:r w:rsidRPr="00FA1A04">
        <w:rPr>
          <w:sz w:val="22"/>
          <w:szCs w:val="22"/>
        </w:rPr>
        <w:t xml:space="preserve"> </w:t>
      </w:r>
    </w:p>
    <w:p w14:paraId="77D409F0" w14:textId="77777777" w:rsidR="00A21D02" w:rsidRDefault="00A21D02"/>
    <w:sectPr w:rsidR="00A21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DAB"/>
    <w:rsid w:val="00452DAB"/>
    <w:rsid w:val="00593D0C"/>
    <w:rsid w:val="00A21D02"/>
    <w:rsid w:val="00D01753"/>
    <w:rsid w:val="00D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4553DFE"/>
  <w15:docId w15:val="{A0B3554A-7D3B-4C80-909D-9BF395E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452D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52DA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 Peren</dc:creator>
  <cp:lastModifiedBy>Eddy Peren</cp:lastModifiedBy>
  <cp:revision>4</cp:revision>
  <cp:lastPrinted>2016-03-03T11:36:00Z</cp:lastPrinted>
  <dcterms:created xsi:type="dcterms:W3CDTF">2016-03-03T11:35:00Z</dcterms:created>
  <dcterms:modified xsi:type="dcterms:W3CDTF">2021-02-10T16:13:00Z</dcterms:modified>
</cp:coreProperties>
</file>