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 xml:space="preserve">Responsable de actualización de información: Virginia Gabriela </w:t>
      </w:r>
      <w:proofErr w:type="spellStart"/>
      <w:r w:rsidRPr="00E02330">
        <w:rPr>
          <w:rFonts w:ascii="Montserrat" w:hAnsi="Montserrat"/>
          <w:color w:val="003399"/>
          <w:sz w:val="20"/>
        </w:rPr>
        <w:t>Marroquin</w:t>
      </w:r>
      <w:proofErr w:type="spellEnd"/>
      <w:r w:rsidRPr="00E02330">
        <w:rPr>
          <w:rFonts w:ascii="Montserrat" w:hAnsi="Montserrat"/>
          <w:color w:val="003399"/>
          <w:sz w:val="20"/>
        </w:rPr>
        <w:t xml:space="preserve"> </w:t>
      </w:r>
      <w:proofErr w:type="spellStart"/>
      <w:r w:rsidRPr="00E02330">
        <w:rPr>
          <w:rFonts w:ascii="Montserrat" w:hAnsi="Montserrat"/>
          <w:color w:val="003399"/>
          <w:sz w:val="20"/>
        </w:rPr>
        <w:t>Chali</w:t>
      </w:r>
      <w:proofErr w:type="spellEnd"/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>Fecha de emisión: 0</w:t>
      </w:r>
      <w:r w:rsidR="00ED67E5">
        <w:rPr>
          <w:rFonts w:ascii="Montserrat" w:hAnsi="Montserrat"/>
          <w:color w:val="003399"/>
          <w:sz w:val="20"/>
        </w:rPr>
        <w:t>2</w:t>
      </w:r>
      <w:r w:rsidRPr="00E02330">
        <w:rPr>
          <w:rFonts w:ascii="Montserrat" w:hAnsi="Montserrat"/>
          <w:color w:val="003399"/>
          <w:sz w:val="20"/>
        </w:rPr>
        <w:t xml:space="preserve"> de </w:t>
      </w:r>
      <w:r w:rsidR="00ED67E5">
        <w:rPr>
          <w:rFonts w:ascii="Montserrat" w:hAnsi="Montserrat"/>
          <w:color w:val="003399"/>
          <w:sz w:val="20"/>
        </w:rPr>
        <w:t>Novi</w:t>
      </w:r>
      <w:bookmarkStart w:id="0" w:name="_GoBack"/>
      <w:bookmarkEnd w:id="0"/>
      <w:r w:rsidR="00056AF3" w:rsidRPr="00E02330">
        <w:rPr>
          <w:rFonts w:ascii="Montserrat" w:hAnsi="Montserrat"/>
          <w:color w:val="003399"/>
          <w:sz w:val="20"/>
        </w:rPr>
        <w:t>embre</w:t>
      </w:r>
      <w:r w:rsidR="00EE5B8C" w:rsidRPr="00E02330">
        <w:rPr>
          <w:rFonts w:ascii="Montserrat" w:hAnsi="Montserrat"/>
          <w:color w:val="003399"/>
          <w:sz w:val="20"/>
        </w:rPr>
        <w:t xml:space="preserve"> de</w:t>
      </w:r>
      <w:r w:rsidRPr="00E02330">
        <w:rPr>
          <w:rFonts w:ascii="Montserrat" w:hAnsi="Montserrat"/>
          <w:color w:val="003399"/>
          <w:sz w:val="20"/>
        </w:rPr>
        <w:t xml:space="preserve"> 2020</w:t>
      </w:r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</w:rPr>
      </w:pPr>
      <w:r w:rsidRPr="00E02330">
        <w:rPr>
          <w:rFonts w:ascii="Montserrat" w:hAnsi="Montserrat"/>
          <w:color w:val="003399"/>
          <w:sz w:val="20"/>
        </w:rPr>
        <w:t>Artículo 10, numeral 1, Ley de Acceso a la Información Pública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center"/>
        <w:rPr>
          <w:rFonts w:ascii="Montserrat" w:hAnsi="Montserrat"/>
          <w:sz w:val="32"/>
          <w:szCs w:val="24"/>
        </w:rPr>
      </w:pPr>
      <w:r w:rsidRPr="00E02330">
        <w:rPr>
          <w:rFonts w:ascii="Montserrat" w:hAnsi="Montserrat"/>
          <w:sz w:val="32"/>
          <w:szCs w:val="24"/>
        </w:rPr>
        <w:t>Marco Normativo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both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Los principales ordenamientos y mandatos jurídicos de los cuales se deriva la Organización y funcionamiento del Ministerio de Gobernación, son los siguientes: 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E02330">
      <w:pPr>
        <w:spacing w:after="0" w:line="240" w:lineRule="auto"/>
        <w:jc w:val="center"/>
        <w:rPr>
          <w:rFonts w:ascii="Montserrat" w:hAnsi="Montserrat"/>
        </w:rPr>
      </w:pPr>
      <w:r w:rsidRPr="00E02330">
        <w:rPr>
          <w:rFonts w:ascii="Montserrat" w:hAnsi="Montserrat"/>
        </w:rPr>
        <w:t>Gobernaciones Departamentales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1. Constitución Política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2. Ley del Organismo Ejecutivo, Decreto 114-97 (artículos 41 al 48)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3. Código Municipal. Decreto 12-2002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4. Ley de los Consejos de Desarrollo Urbano y Rural Decreto 11-2002 (artículos 9 al 10)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5. Ley de la Coordinadora Nacional para la Reducción de Desastres de origen natural o provocado. Decreto 109-96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6. Ley de Servicio Civil. Decreto 1748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7. Ley de Amparo. Decreto 1-86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8. Ley de Expropiación. Decreto 1-86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9. Ley de la Policía Nacional Civil. Decreto 11-97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10. Ley de Clases Pasivas Civiles del Estado. Decreto 63-88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11. Ley de Nacionalidad. Decreto 1316, Capítulo IV Articulo 32 al 39.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12. Ley de Protección para las personas de la Tercera Edad. Decreto 80-96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13. Ley del Fondo de Tierras. Decreto 24-99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14. Ley Electoral y de Partidos Políticos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15. Ley para el Control de Animales Peligrosos. Decreto 22-2003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16. Ley del Fondo de Inversión Social. Decreto 13-93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17. Ley de Minería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</w:t>
      </w:r>
      <w:r w:rsidRPr="00E02330">
        <w:rPr>
          <w:rFonts w:ascii="Montserrat" w:hAnsi="Montserrat"/>
        </w:rPr>
        <w:lastRenderedPageBreak/>
        <w:t xml:space="preserve">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18. Decreto 2082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19. Decreto 295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20. Decreto 1810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21. Decreto 2084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22. Decreto 1610, Promociones comerciales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23. Decreto 586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24. Reglamento de la Ley de Educación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25. Reglamento de la Ley de Protección para las Personas de la Tercera Edad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26. Reglamento de Derecho de Vía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27. Reglamento de la Ley de Consejos de Desarrollo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28. Reglamento para Baratillos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29. Reglamento para Bandas Civiles de Música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30. Reglamento para </w:t>
      </w:r>
      <w:r w:rsidR="00054AC6" w:rsidRPr="00E02330">
        <w:rPr>
          <w:rFonts w:ascii="Montserrat" w:hAnsi="Montserrat"/>
        </w:rPr>
        <w:t>Lides</w:t>
      </w:r>
      <w:r w:rsidRPr="00E02330">
        <w:rPr>
          <w:rFonts w:ascii="Montserrat" w:hAnsi="Montserrat"/>
        </w:rPr>
        <w:t xml:space="preserve"> de Gallo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31. Reglamento de la Ley de Clases Pasivas, Decreto Ley 66-88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32. Reglamento de la Ley de Minería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33. Reglamento de la Ley de Servicio Civil, Acuerdo Gubernativo No. 18-98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34. Reglamento Disciplinario de la Policía Nacional Civil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35. Reglamento Orgánico Interno del Ministerio de Agricultura, Ganadería y Alimentación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36. Decreto 10-73 del Uso de Aparatos reproductores de la Voz y el Sonido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37. Reglamento para las Corridas de Toros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38. Reglamento para las Loterías Rifas y Juegos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39. Acuerdo Gubernativo 149-99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lastRenderedPageBreak/>
        <w:t xml:space="preserve">40. Acuerdo Gubernativo 305-97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41. Acuerdo Gubernativo 009-21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42. Acuerdo Gubernativo 1030-84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43. Acuerdo Gubernativo 2009-1978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44. Acuerdo Presidencial del 09-08-1968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45. Acuerdo Presidencial del 09-09-1958 </w:t>
      </w:r>
    </w:p>
    <w:p w:rsidR="00993818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>46. Acuerdo Gubernativo 112-99 Comisión Multisectorial para el Control del Expendio y Consumo de Bebidas Alcohólicas</w:t>
      </w:r>
    </w:p>
    <w:sectPr w:rsidR="00993818" w:rsidRPr="00E023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F2" w:rsidRDefault="00F87AF2" w:rsidP="00E02330">
      <w:pPr>
        <w:spacing w:after="0" w:line="240" w:lineRule="auto"/>
      </w:pPr>
      <w:r>
        <w:separator/>
      </w:r>
    </w:p>
  </w:endnote>
  <w:endnote w:type="continuationSeparator" w:id="0">
    <w:p w:rsidR="00F87AF2" w:rsidRDefault="00F87AF2" w:rsidP="00E0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F2" w:rsidRDefault="00F87AF2" w:rsidP="00E02330">
      <w:pPr>
        <w:spacing w:after="0" w:line="240" w:lineRule="auto"/>
      </w:pPr>
      <w:r>
        <w:separator/>
      </w:r>
    </w:p>
  </w:footnote>
  <w:footnote w:type="continuationSeparator" w:id="0">
    <w:p w:rsidR="00F87AF2" w:rsidRDefault="00F87AF2" w:rsidP="00E0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-316230</wp:posOffset>
          </wp:positionV>
          <wp:extent cx="7981950" cy="10048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illa documentos web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</w:pPr>
    <w:r>
      <w:tab/>
    </w:r>
  </w:p>
  <w:p w:rsidR="00E02330" w:rsidRDefault="00E023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054AC6"/>
    <w:rsid w:val="00056AF3"/>
    <w:rsid w:val="00356CE7"/>
    <w:rsid w:val="00993818"/>
    <w:rsid w:val="00BF5F0C"/>
    <w:rsid w:val="00E02330"/>
    <w:rsid w:val="00ED67E5"/>
    <w:rsid w:val="00EE5B8C"/>
    <w:rsid w:val="00F8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330"/>
  </w:style>
  <w:style w:type="paragraph" w:styleId="Piedepgina">
    <w:name w:val="footer"/>
    <w:basedOn w:val="Normal"/>
    <w:link w:val="Piedepgina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7</cp:revision>
  <dcterms:created xsi:type="dcterms:W3CDTF">2020-11-19T15:10:00Z</dcterms:created>
  <dcterms:modified xsi:type="dcterms:W3CDTF">2020-12-15T19:32:00Z</dcterms:modified>
</cp:coreProperties>
</file>